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室外智慧声柱操作说明书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  <w:t>封</w:t>
      </w: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  <w:t>面</w:t>
      </w: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bidi w:val="0"/>
        <w:jc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注意事项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请不要使用汽油或其他有机溶液清洗本产品，应使用柔软干燥的布。</w:t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本音柱不含任何用户维修部分，请勿自行拆卸或擅自对音柱进行线路改动，否则将失去产品保修权。若出现质量或技术问题，请与经销商联系，获将该音柱返回我公司检修，我公司对产品一年内实行“三包”。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产品安装必须牢固稳定，以免出现意外，造成不必要的损失。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多只音柱近距离同时使用时，务必保持相位一致，否则影响音响效果。</w:t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本产品保留不断改进的权利，若有更改恕不另行通知。</w:t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产品介绍</w:t>
      </w:r>
    </w:p>
    <w:p>
      <w:pPr>
        <w:rPr>
          <w:rFonts w:hint="default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2.1</w:t>
      </w: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规格型号：HT-9530</w:t>
      </w:r>
    </w:p>
    <w:p>
      <w:pPr>
        <w:numPr>
          <w:ilvl w:val="0"/>
          <w:numId w:val="0"/>
        </w:numPr>
        <w:ind w:leftChars="0"/>
        <w:jc w:val="both"/>
        <w:rPr>
          <w:rFonts w:hint="default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2.2功能介绍：</w:t>
      </w:r>
    </w:p>
    <w:p>
      <w:pPr>
        <w:ind w:firstLine="480" w:firstLineChars="200"/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智慧声柱额定功率30W，有效频率范围90Hz~20KHz，灵敏度91dB，该产品内置4M音频存储空间，可以使用安卓线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（工厂不标配）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通过USB接口擦除拷贝6首音乐，通过拨码开关选择预设音乐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号，通过触发播放预设语音节目。该产品外置一路线路输入接口，可以播放外部音源。该产品具有本地音乐和线路音乐设置有音量调节旋钮。该产品使用直流电源供电，内置D类数字功放，效率可达90%以上。该产品使用高质量的扬声器，清晰地还原声音。</w:t>
      </w:r>
    </w:p>
    <w:p>
      <w:pPr>
        <w:numPr>
          <w:ilvl w:val="0"/>
          <w:numId w:val="0"/>
        </w:numP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shd w:val="clear" w:fill="000000" w:themeFill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2.3</w:t>
      </w: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功能特点：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内置6种情景语音媒体，固定一种情景语音播放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支持电脑读取/上传情景语音文件，可自由更换情景语音文件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一路本地音源输入，与情景语音播放混音输出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情景语音音量和本地音量独立调节，互不干扰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一路短路输入，设备检测到有短路信息时会自动播报指定的语音文件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57625" cy="2893695"/>
            <wp:effectExtent l="0" t="0" r="9525" b="190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80" w:hanging="300" w:hangingChars="1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①.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DC12V/3A  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②.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电源指示灯   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③.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信号指示灯     </w:t>
      </w:r>
    </w:p>
    <w:p>
      <w:pPr>
        <w:numPr>
          <w:ilvl w:val="0"/>
          <w:numId w:val="0"/>
        </w:numPr>
        <w:ind w:left="280" w:hanging="300" w:hangingChars="1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④.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6路拔码开关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⑤.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数据接口     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⑥.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情景音量调节</w:t>
      </w:r>
    </w:p>
    <w:p>
      <w:pPr>
        <w:numPr>
          <w:ilvl w:val="0"/>
          <w:numId w:val="0"/>
        </w:numPr>
        <w:ind w:left="280" w:hanging="300" w:hangingChars="1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⑦.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线路音量调节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⑧.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短路触发          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⑨.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本地音频输入</w:t>
      </w:r>
    </w:p>
    <w:p>
      <w:pPr>
        <w:numPr>
          <w:ilvl w:val="0"/>
          <w:numId w:val="0"/>
        </w:numP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2.4技术参数：</w:t>
      </w:r>
    </w:p>
    <w:tbl>
      <w:tblPr>
        <w:tblStyle w:val="5"/>
        <w:tblpPr w:leftFromText="180" w:rightFromText="180" w:vertAnchor="text" w:horzAnchor="page" w:tblpX="2955" w:tblpY="7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参数名称</w:t>
            </w:r>
          </w:p>
        </w:tc>
        <w:tc>
          <w:tcPr>
            <w:tcW w:w="3421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工作电压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DV12V3A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（工厂不标配）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额定功率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频率范围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90Hz~20KHz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±2dB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灵敏度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410*145*95mm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重量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2.60Kg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铝合金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音频格式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音频存储空间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消耗功率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总谐波失真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shd w:val="clear" w:color="auto" w:fill="AEAAAA" w:themeFill="background2" w:themeFillShade="BF"/>
            <w:noWrap w:val="0"/>
            <w:vAlign w:val="top"/>
          </w:tcPr>
          <w:p>
            <w:pPr>
              <w:ind w:leftChars="10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信噪比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ind w:leftChars="10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≥80dB(功放)</w:t>
            </w:r>
          </w:p>
        </w:tc>
      </w:tr>
    </w:tbl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快速操作</w:t>
      </w:r>
    </w:p>
    <w:p>
      <w:pPr>
        <w:numPr>
          <w:ilvl w:val="0"/>
          <w:numId w:val="0"/>
        </w:numPr>
        <w:ind w:leftChars="0"/>
        <w:jc w:val="both"/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3.1拨码</w:t>
      </w:r>
    </w:p>
    <w:p>
      <w:pPr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支持安卓手机USB线接电脑形式（移动硬盘式），整个盘最大储存在4M空间，打开进入后有6个MP3文件，文件名称分别是：00001、00002、00003、00004、00005、00006这6个文件对应的是设备外部的6个拨码，例如拨码1拨到on，音柱就会播报00001的音频文件。如要更换设备中的音频文件，只需放入小于4M且小于30秒的MP3格式的音频文件，然后将文件名字改到外部想拨码的对应号即可。例如，将文件改为00001放入，外部拨码1拨到on即可播报。</w:t>
      </w:r>
    </w:p>
    <w:p>
      <w:pPr>
        <w:numPr>
          <w:ilvl w:val="0"/>
          <w:numId w:val="0"/>
        </w:numPr>
        <w:ind w:leftChars="0"/>
        <w:jc w:val="both"/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3.2控制线</w:t>
      </w:r>
    </w:p>
    <w:p>
      <w:pPr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设备标示的控制线路+ -为短路触发接口，只需使其短路然后将想要播报的音频拨码拨到on即可播放内部音频文件。停止短路则停止播报。</w:t>
      </w:r>
    </w:p>
    <w:p>
      <w:pPr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设备标示的线路输入+ -为音频输入接口，可外接音源进行播放，情景播报输出和外接音频输出采取混音的方式，两条可以同时使用。</w:t>
      </w:r>
    </w:p>
    <w:p>
      <w:pPr>
        <w:numPr>
          <w:ilvl w:val="0"/>
          <w:numId w:val="0"/>
        </w:numPr>
        <w:ind w:leftChars="0"/>
        <w:jc w:val="both"/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3.3音量调节</w:t>
      </w:r>
    </w:p>
    <w:p>
      <w:pPr>
        <w:numPr>
          <w:ilvl w:val="0"/>
          <w:numId w:val="0"/>
        </w:numPr>
        <w:ind w:leftChars="0"/>
        <w:jc w:val="both"/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音柱下方有情景音量调节和线路音量调节</w:t>
      </w:r>
    </w:p>
    <w:p>
      <w:pPr>
        <w:numPr>
          <w:ilvl w:val="0"/>
          <w:numId w:val="0"/>
        </w:numPr>
        <w:ind w:leftChars="0" w:firstLine="720" w:firstLineChars="200"/>
        <w:jc w:val="both"/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情景音量调节的是内部音源播放音量</w:t>
      </w:r>
    </w:p>
    <w:p>
      <w:pPr>
        <w:numPr>
          <w:ilvl w:val="0"/>
          <w:numId w:val="0"/>
        </w:numPr>
        <w:ind w:leftChars="0" w:firstLine="720" w:firstLineChars="200"/>
        <w:jc w:val="both"/>
        <w:rPr>
          <w:rFonts w:hint="eastAsia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线路音量调节的是外接的音源播放音量</w:t>
      </w:r>
    </w:p>
    <w:p>
      <w:pPr>
        <w:numPr>
          <w:ilvl w:val="0"/>
          <w:numId w:val="0"/>
        </w:numPr>
        <w:ind w:leftChars="0"/>
        <w:jc w:val="both"/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3.4中文音源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拨码1：您已进入监控区域，你的行为将:被实时记录，请注意言行举止。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拨码2：你好，垃圾请分类入桶。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拨码3：观赏草坪，请勿踩踏。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拨码4：机动车道，行人请勿进入。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拨码5：进入施工现场，请带好安全帽，注意安全。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cstheme="minorBidi"/>
          <w:b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拨码6：警戒区域，请尽快离开。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FD91E"/>
    <w:multiLevelType w:val="singleLevel"/>
    <w:tmpl w:val="8D6FD91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8948CB0"/>
    <w:multiLevelType w:val="singleLevel"/>
    <w:tmpl w:val="A8948CB0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5295"/>
    <w:rsid w:val="016C45E8"/>
    <w:rsid w:val="016D2E16"/>
    <w:rsid w:val="01EC720A"/>
    <w:rsid w:val="02B81DBD"/>
    <w:rsid w:val="02ED621A"/>
    <w:rsid w:val="03024B95"/>
    <w:rsid w:val="033D7254"/>
    <w:rsid w:val="039205E0"/>
    <w:rsid w:val="04DC3A1A"/>
    <w:rsid w:val="05607198"/>
    <w:rsid w:val="067117A0"/>
    <w:rsid w:val="06D53EBA"/>
    <w:rsid w:val="08165F9B"/>
    <w:rsid w:val="086E5096"/>
    <w:rsid w:val="08A47D91"/>
    <w:rsid w:val="08B645C3"/>
    <w:rsid w:val="0AF0078F"/>
    <w:rsid w:val="0BC46B58"/>
    <w:rsid w:val="0BD679B6"/>
    <w:rsid w:val="0C254032"/>
    <w:rsid w:val="0E1B1140"/>
    <w:rsid w:val="0E682258"/>
    <w:rsid w:val="0E773642"/>
    <w:rsid w:val="0F0261DB"/>
    <w:rsid w:val="0F946507"/>
    <w:rsid w:val="10087897"/>
    <w:rsid w:val="103A1B1D"/>
    <w:rsid w:val="10E724B3"/>
    <w:rsid w:val="11C47907"/>
    <w:rsid w:val="12C95ADB"/>
    <w:rsid w:val="12D30731"/>
    <w:rsid w:val="13D56639"/>
    <w:rsid w:val="14555AF8"/>
    <w:rsid w:val="146F2CAA"/>
    <w:rsid w:val="148D653B"/>
    <w:rsid w:val="15902628"/>
    <w:rsid w:val="15906224"/>
    <w:rsid w:val="15FA358D"/>
    <w:rsid w:val="161E3F59"/>
    <w:rsid w:val="166C701C"/>
    <w:rsid w:val="17913FF1"/>
    <w:rsid w:val="17E6535C"/>
    <w:rsid w:val="190E3BDF"/>
    <w:rsid w:val="19263D66"/>
    <w:rsid w:val="198561E7"/>
    <w:rsid w:val="1A91374D"/>
    <w:rsid w:val="1AA76AC2"/>
    <w:rsid w:val="1B5D1C2C"/>
    <w:rsid w:val="1BA03E4C"/>
    <w:rsid w:val="1BBE6CFA"/>
    <w:rsid w:val="1C1631D2"/>
    <w:rsid w:val="1C282614"/>
    <w:rsid w:val="1C7B0AD3"/>
    <w:rsid w:val="1CA537BB"/>
    <w:rsid w:val="1CE57521"/>
    <w:rsid w:val="1DD27CFB"/>
    <w:rsid w:val="1E1F21AD"/>
    <w:rsid w:val="1F564696"/>
    <w:rsid w:val="1F5E556C"/>
    <w:rsid w:val="200438D8"/>
    <w:rsid w:val="22450D84"/>
    <w:rsid w:val="22A46B91"/>
    <w:rsid w:val="22FF1E9E"/>
    <w:rsid w:val="23695F2C"/>
    <w:rsid w:val="23A53149"/>
    <w:rsid w:val="23D80ED2"/>
    <w:rsid w:val="24BC46A9"/>
    <w:rsid w:val="258F0485"/>
    <w:rsid w:val="26FB5D06"/>
    <w:rsid w:val="2790655F"/>
    <w:rsid w:val="28DF60CF"/>
    <w:rsid w:val="29A41B53"/>
    <w:rsid w:val="29EA2999"/>
    <w:rsid w:val="2A25717A"/>
    <w:rsid w:val="2A6C0E8E"/>
    <w:rsid w:val="2AEF186A"/>
    <w:rsid w:val="2AF83630"/>
    <w:rsid w:val="2B155D79"/>
    <w:rsid w:val="2B3521A5"/>
    <w:rsid w:val="2B5F52B4"/>
    <w:rsid w:val="2C0E17F2"/>
    <w:rsid w:val="2C7E14BF"/>
    <w:rsid w:val="2C980BDA"/>
    <w:rsid w:val="2D3F2BE6"/>
    <w:rsid w:val="2E4D7699"/>
    <w:rsid w:val="2E560E28"/>
    <w:rsid w:val="2E637F08"/>
    <w:rsid w:val="2EC05457"/>
    <w:rsid w:val="2F77300F"/>
    <w:rsid w:val="300F5803"/>
    <w:rsid w:val="316C421A"/>
    <w:rsid w:val="31B62CD7"/>
    <w:rsid w:val="321704E6"/>
    <w:rsid w:val="32CB4AE7"/>
    <w:rsid w:val="335166F1"/>
    <w:rsid w:val="33B11381"/>
    <w:rsid w:val="34C215B9"/>
    <w:rsid w:val="356C400F"/>
    <w:rsid w:val="359034D3"/>
    <w:rsid w:val="36194E89"/>
    <w:rsid w:val="36921633"/>
    <w:rsid w:val="36A17F18"/>
    <w:rsid w:val="3712746C"/>
    <w:rsid w:val="37755F91"/>
    <w:rsid w:val="3785279F"/>
    <w:rsid w:val="37AE6098"/>
    <w:rsid w:val="37B2322A"/>
    <w:rsid w:val="37D322C7"/>
    <w:rsid w:val="38785CBD"/>
    <w:rsid w:val="38B73689"/>
    <w:rsid w:val="38E345B4"/>
    <w:rsid w:val="3A1B0B39"/>
    <w:rsid w:val="3AC33732"/>
    <w:rsid w:val="3AF37B20"/>
    <w:rsid w:val="3C0136E5"/>
    <w:rsid w:val="3CF44203"/>
    <w:rsid w:val="3E4E6127"/>
    <w:rsid w:val="3E6B7706"/>
    <w:rsid w:val="3E9E1D13"/>
    <w:rsid w:val="3EDD51B0"/>
    <w:rsid w:val="409057CF"/>
    <w:rsid w:val="41A92D52"/>
    <w:rsid w:val="420518CA"/>
    <w:rsid w:val="42672294"/>
    <w:rsid w:val="43141406"/>
    <w:rsid w:val="43EC034E"/>
    <w:rsid w:val="43F77089"/>
    <w:rsid w:val="43FF6A45"/>
    <w:rsid w:val="4439219B"/>
    <w:rsid w:val="44F24937"/>
    <w:rsid w:val="45167000"/>
    <w:rsid w:val="465E5728"/>
    <w:rsid w:val="46773D91"/>
    <w:rsid w:val="467F7AA4"/>
    <w:rsid w:val="46AE0504"/>
    <w:rsid w:val="477956EC"/>
    <w:rsid w:val="47E40D52"/>
    <w:rsid w:val="47E904E0"/>
    <w:rsid w:val="48135FC6"/>
    <w:rsid w:val="48287426"/>
    <w:rsid w:val="482C4076"/>
    <w:rsid w:val="48BF619C"/>
    <w:rsid w:val="49AC605B"/>
    <w:rsid w:val="49D9471E"/>
    <w:rsid w:val="4A8E561F"/>
    <w:rsid w:val="4A955614"/>
    <w:rsid w:val="4B66411E"/>
    <w:rsid w:val="4B920DB9"/>
    <w:rsid w:val="4BD8701A"/>
    <w:rsid w:val="4BE12BE0"/>
    <w:rsid w:val="4C1C3328"/>
    <w:rsid w:val="4C7743C3"/>
    <w:rsid w:val="4D6E013E"/>
    <w:rsid w:val="4E246469"/>
    <w:rsid w:val="504973DB"/>
    <w:rsid w:val="50911C91"/>
    <w:rsid w:val="51543E9D"/>
    <w:rsid w:val="51E33A96"/>
    <w:rsid w:val="524829A6"/>
    <w:rsid w:val="529C7565"/>
    <w:rsid w:val="52E45956"/>
    <w:rsid w:val="5345267E"/>
    <w:rsid w:val="53AA0B76"/>
    <w:rsid w:val="55E3273A"/>
    <w:rsid w:val="55EA4204"/>
    <w:rsid w:val="56334601"/>
    <w:rsid w:val="56606A82"/>
    <w:rsid w:val="56A337F3"/>
    <w:rsid w:val="57540616"/>
    <w:rsid w:val="57CD66C8"/>
    <w:rsid w:val="594F07BB"/>
    <w:rsid w:val="59D53892"/>
    <w:rsid w:val="59E54D22"/>
    <w:rsid w:val="5A730ECF"/>
    <w:rsid w:val="5B994721"/>
    <w:rsid w:val="5BE82527"/>
    <w:rsid w:val="5CCF7903"/>
    <w:rsid w:val="5CE44551"/>
    <w:rsid w:val="5D1F608E"/>
    <w:rsid w:val="5D4302F7"/>
    <w:rsid w:val="5DA73B0D"/>
    <w:rsid w:val="5E461DA2"/>
    <w:rsid w:val="5EA953DF"/>
    <w:rsid w:val="5F1C6B2E"/>
    <w:rsid w:val="5FD568B7"/>
    <w:rsid w:val="60DF7BEF"/>
    <w:rsid w:val="614957BA"/>
    <w:rsid w:val="619904D8"/>
    <w:rsid w:val="61A078C1"/>
    <w:rsid w:val="61B3433E"/>
    <w:rsid w:val="61E0721A"/>
    <w:rsid w:val="61EB463F"/>
    <w:rsid w:val="61F876E9"/>
    <w:rsid w:val="63525870"/>
    <w:rsid w:val="63F837A5"/>
    <w:rsid w:val="63F9325F"/>
    <w:rsid w:val="65814CCB"/>
    <w:rsid w:val="65E321DD"/>
    <w:rsid w:val="661E3BA8"/>
    <w:rsid w:val="66852388"/>
    <w:rsid w:val="66A3330F"/>
    <w:rsid w:val="671C4730"/>
    <w:rsid w:val="685251FF"/>
    <w:rsid w:val="68673571"/>
    <w:rsid w:val="68854686"/>
    <w:rsid w:val="68E8521E"/>
    <w:rsid w:val="69DD6C9F"/>
    <w:rsid w:val="69F74EAF"/>
    <w:rsid w:val="6A0762A6"/>
    <w:rsid w:val="6A506187"/>
    <w:rsid w:val="6AC8594E"/>
    <w:rsid w:val="6BA71454"/>
    <w:rsid w:val="6CAF5FC7"/>
    <w:rsid w:val="6D132AA8"/>
    <w:rsid w:val="6D6E6E9E"/>
    <w:rsid w:val="6DD3356E"/>
    <w:rsid w:val="6E4A2DC7"/>
    <w:rsid w:val="6FA15EDC"/>
    <w:rsid w:val="705E126C"/>
    <w:rsid w:val="718F76F7"/>
    <w:rsid w:val="71D907A3"/>
    <w:rsid w:val="727102B8"/>
    <w:rsid w:val="727A4424"/>
    <w:rsid w:val="73275408"/>
    <w:rsid w:val="744D44AC"/>
    <w:rsid w:val="74996714"/>
    <w:rsid w:val="74B54743"/>
    <w:rsid w:val="74DD6C6B"/>
    <w:rsid w:val="74F95829"/>
    <w:rsid w:val="75667583"/>
    <w:rsid w:val="759F3777"/>
    <w:rsid w:val="762D2099"/>
    <w:rsid w:val="772B58D4"/>
    <w:rsid w:val="78067D0C"/>
    <w:rsid w:val="787E7D3F"/>
    <w:rsid w:val="78DF58F0"/>
    <w:rsid w:val="78F815A1"/>
    <w:rsid w:val="79DC4FCB"/>
    <w:rsid w:val="7A2D62D8"/>
    <w:rsid w:val="7A7C66AB"/>
    <w:rsid w:val="7A8E06EE"/>
    <w:rsid w:val="7AA12698"/>
    <w:rsid w:val="7B931485"/>
    <w:rsid w:val="7C3F5E40"/>
    <w:rsid w:val="7D446FFC"/>
    <w:rsid w:val="7D5F14FD"/>
    <w:rsid w:val="7E9F72A4"/>
    <w:rsid w:val="7F3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2019-12-31T01:53:00Z</dcterms:created>
  <dc:creator>Administrator</dc:creator>
  <cp:lastModifiedBy>普迪仕-杨光</cp:lastModifiedBy>
  <dcterms:modified xsi:type="dcterms:W3CDTF">2020-05-13T06:44:34Z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